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20" w:rsidRPr="00E87220" w:rsidRDefault="006D38F4">
      <w:pPr>
        <w:rPr>
          <w:lang w:val="pt-BR"/>
        </w:rPr>
      </w:pPr>
      <w:r>
        <w:rPr>
          <w:lang w:val="pt-BR"/>
        </w:rPr>
        <w:t>RD1</w:t>
      </w:r>
    </w:p>
    <w:p w:rsidR="003779AA" w:rsidRPr="000A45CC" w:rsidRDefault="00E87220">
      <w:pPr>
        <w:rPr>
          <w:b/>
          <w:lang w:val="pt-BR"/>
        </w:rPr>
      </w:pPr>
      <w:r w:rsidRPr="00E87220">
        <w:rPr>
          <w:lang w:val="pt-BR"/>
        </w:rPr>
        <w:t xml:space="preserve">Título: </w:t>
      </w:r>
      <w:r w:rsidR="00952A03">
        <w:rPr>
          <w:b/>
          <w:lang w:val="pt-BR"/>
        </w:rPr>
        <w:t>Novo esquema de radiação e inclusão de nuvens convectivas</w:t>
      </w:r>
    </w:p>
    <w:p w:rsidR="00952A03" w:rsidRDefault="00952A03" w:rsidP="00A0632F">
      <w:pPr>
        <w:jc w:val="both"/>
        <w:rPr>
          <w:lang w:val="pt-BR"/>
        </w:rPr>
      </w:pPr>
      <w:r w:rsidRPr="00952A03">
        <w:rPr>
          <w:lang w:val="pt-BR"/>
        </w:rPr>
        <w:t>As nuvens convectivas desempenham um papel importante no balanço de energia local, interagindo diretamente com a radiação solar e a radiação terrestre. No entanto, esquemas de parametrização de radiação de modelos atmosféricos geralmente consideram nuvens produzidas a partir de esquemas de microfísica ou algum outro critério de saturação de umidade na grade do modelo. Esquemas de parametrização convectiva profunda tendem a gerar precipitação de nuvem convectiva sem que o esquema de radiação perceba sua carga hídrica. Isso pode ser uma fonte do excesso de radiação solar que atinge a superfície terrestre.</w:t>
      </w:r>
      <w:r>
        <w:rPr>
          <w:lang w:val="pt-BR"/>
        </w:rPr>
        <w:t xml:space="preserve"> O novo esquema de radiação introduzido no modelo Eta é o </w:t>
      </w:r>
      <w:proofErr w:type="spellStart"/>
      <w:r w:rsidRPr="006D38F4">
        <w:rPr>
          <w:i/>
          <w:lang w:val="pt-BR"/>
        </w:rPr>
        <w:t>Rapid</w:t>
      </w:r>
      <w:proofErr w:type="spellEnd"/>
      <w:r w:rsidRPr="006D38F4">
        <w:rPr>
          <w:i/>
          <w:lang w:val="pt-BR"/>
        </w:rPr>
        <w:t xml:space="preserve"> </w:t>
      </w:r>
      <w:proofErr w:type="spellStart"/>
      <w:r w:rsidRPr="006D38F4">
        <w:rPr>
          <w:i/>
          <w:lang w:val="pt-BR"/>
        </w:rPr>
        <w:t>Radiation</w:t>
      </w:r>
      <w:proofErr w:type="spellEnd"/>
      <w:r w:rsidRPr="006D38F4">
        <w:rPr>
          <w:i/>
          <w:lang w:val="pt-BR"/>
        </w:rPr>
        <w:t xml:space="preserve"> </w:t>
      </w:r>
      <w:proofErr w:type="spellStart"/>
      <w:r w:rsidRPr="006D38F4">
        <w:rPr>
          <w:i/>
          <w:lang w:val="pt-BR"/>
        </w:rPr>
        <w:t>Transfer</w:t>
      </w:r>
      <w:proofErr w:type="spellEnd"/>
      <w:r w:rsidRPr="006D38F4">
        <w:rPr>
          <w:i/>
          <w:lang w:val="pt-BR"/>
        </w:rPr>
        <w:t xml:space="preserve"> </w:t>
      </w:r>
      <w:proofErr w:type="spellStart"/>
      <w:r w:rsidRPr="006D38F4">
        <w:rPr>
          <w:i/>
          <w:lang w:val="pt-BR"/>
        </w:rPr>
        <w:t>Model</w:t>
      </w:r>
      <w:proofErr w:type="spellEnd"/>
      <w:r>
        <w:rPr>
          <w:lang w:val="pt-BR"/>
        </w:rPr>
        <w:t xml:space="preserve"> (</w:t>
      </w:r>
      <w:r w:rsidRPr="00952A03">
        <w:rPr>
          <w:lang w:val="pt-BR"/>
        </w:rPr>
        <w:t>RRTM</w:t>
      </w:r>
      <w:r>
        <w:rPr>
          <w:lang w:val="pt-BR"/>
        </w:rPr>
        <w:t>)</w:t>
      </w:r>
      <w:r w:rsidRPr="00952A03">
        <w:rPr>
          <w:lang w:val="pt-BR"/>
        </w:rPr>
        <w:t>.</w:t>
      </w:r>
      <w:r>
        <w:rPr>
          <w:lang w:val="pt-BR"/>
        </w:rPr>
        <w:t xml:space="preserve"> O desenvolvimento foi a inclusão da nuvem convectiva profunda no esquema RRTM. </w:t>
      </w:r>
      <w:r w:rsidRPr="00952A03">
        <w:rPr>
          <w:lang w:val="pt-BR"/>
        </w:rPr>
        <w:t>Isto</w:t>
      </w:r>
      <w:r w:rsidRPr="00952A03">
        <w:rPr>
          <w:lang w:val="pt-BR"/>
        </w:rPr>
        <w:t xml:space="preserve"> produziu uma redução adicional do viés positivo do fluxo radiativo de onda curta incidente à su</w:t>
      </w:r>
      <w:r>
        <w:rPr>
          <w:lang w:val="pt-BR"/>
        </w:rPr>
        <w:t>perfície, melhoria n</w:t>
      </w:r>
      <w:r w:rsidRPr="00952A03">
        <w:rPr>
          <w:lang w:val="pt-BR"/>
        </w:rPr>
        <w:t xml:space="preserve">a cobertura de nuvens, </w:t>
      </w:r>
      <w:r>
        <w:rPr>
          <w:lang w:val="pt-BR"/>
        </w:rPr>
        <w:t>n</w:t>
      </w:r>
      <w:r w:rsidRPr="00952A03">
        <w:rPr>
          <w:lang w:val="pt-BR"/>
        </w:rPr>
        <w:t xml:space="preserve">o ciclo diurno do saldo de radiação à superfície e </w:t>
      </w:r>
      <w:r>
        <w:rPr>
          <w:lang w:val="pt-BR"/>
        </w:rPr>
        <w:t>n</w:t>
      </w:r>
      <w:r w:rsidRPr="00952A03">
        <w:rPr>
          <w:lang w:val="pt-BR"/>
        </w:rPr>
        <w:t>a temperatura a 2 metros. Porém</w:t>
      </w:r>
      <w:r>
        <w:rPr>
          <w:lang w:val="pt-BR"/>
        </w:rPr>
        <w:t>, a precipitação total foi reduzida.</w:t>
      </w:r>
    </w:p>
    <w:p w:rsidR="00952A03" w:rsidRPr="00952A03" w:rsidRDefault="00952A03" w:rsidP="00A0632F">
      <w:pPr>
        <w:jc w:val="both"/>
        <w:rPr>
          <w:lang w:val="pt-BR"/>
        </w:rPr>
      </w:pPr>
      <w:r w:rsidRPr="00952A03">
        <w:rPr>
          <w:lang w:val="pt-BR"/>
        </w:rPr>
        <w:t>Na simulação longa de 10 anos, conseguiu-se reproduzir a variabilidade sazonal d</w:t>
      </w:r>
      <w:r>
        <w:rPr>
          <w:lang w:val="pt-BR"/>
        </w:rPr>
        <w:t xml:space="preserve">os fluxos de radiação durante </w:t>
      </w:r>
      <w:r w:rsidRPr="00952A03">
        <w:rPr>
          <w:lang w:val="pt-BR"/>
        </w:rPr>
        <w:t>as estações de verão e inverno em comparação com dados de reanálise.</w:t>
      </w:r>
    </w:p>
    <w:p w:rsidR="00952A03" w:rsidRDefault="006D38F4" w:rsidP="00A0632F">
      <w:pPr>
        <w:jc w:val="both"/>
        <w:rPr>
          <w:lang w:val="pt-BR"/>
        </w:rPr>
      </w:pPr>
      <w:r>
        <w:rPr>
          <w:lang w:val="pt-BR"/>
        </w:rPr>
        <w:t>Trabalhos adicionais utilizando os cenários de aumento dos gases de efeito estufa estão planejados.</w:t>
      </w:r>
    </w:p>
    <w:p w:rsidR="006D38F4" w:rsidRDefault="006D38F4" w:rsidP="00A0632F">
      <w:pPr>
        <w:jc w:val="both"/>
        <w:rPr>
          <w:lang w:val="pt-BR"/>
        </w:rPr>
      </w:pP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 xml:space="preserve">Autores: </w:t>
      </w:r>
      <w:r w:rsidR="00952A03">
        <w:rPr>
          <w:lang w:val="pt-BR"/>
        </w:rPr>
        <w:t>Diego de Andrade Campos</w:t>
      </w:r>
      <w:r>
        <w:rPr>
          <w:lang w:val="pt-BR"/>
        </w:rPr>
        <w:t xml:space="preserve">, Sin Chan Chou </w:t>
      </w:r>
      <w:bookmarkStart w:id="0" w:name="_GoBack"/>
      <w:bookmarkEnd w:id="0"/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0"/>
    <w:rsid w:val="000A45CC"/>
    <w:rsid w:val="002D2023"/>
    <w:rsid w:val="004654D8"/>
    <w:rsid w:val="004B35F0"/>
    <w:rsid w:val="00600B85"/>
    <w:rsid w:val="006D38F4"/>
    <w:rsid w:val="00922B32"/>
    <w:rsid w:val="00952A03"/>
    <w:rsid w:val="00A0632F"/>
    <w:rsid w:val="00A83C50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6CD3-25FD-4936-82BF-3F17AFC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Sin Chan Chou</cp:lastModifiedBy>
  <cp:revision>3</cp:revision>
  <dcterms:created xsi:type="dcterms:W3CDTF">2022-01-20T14:58:00Z</dcterms:created>
  <dcterms:modified xsi:type="dcterms:W3CDTF">2022-01-20T15:07:00Z</dcterms:modified>
</cp:coreProperties>
</file>